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B235" w14:textId="77777777" w:rsidR="00E27A8E" w:rsidRPr="00E27A8E" w:rsidRDefault="00E27A8E" w:rsidP="00E27A8E">
      <w:pPr>
        <w:jc w:val="center"/>
        <w:rPr>
          <w:rFonts w:ascii="Calibri" w:hAnsi="Calibri" w:cs="Calibri"/>
          <w:b/>
          <w:bCs/>
          <w:sz w:val="22"/>
          <w:szCs w:val="22"/>
        </w:rPr>
      </w:pPr>
      <w:r w:rsidRPr="00E27A8E">
        <w:rPr>
          <w:rFonts w:ascii="Calibri" w:hAnsi="Calibri" w:cs="Calibri"/>
          <w:b/>
          <w:bCs/>
          <w:sz w:val="22"/>
          <w:szCs w:val="22"/>
        </w:rPr>
        <w:t>Numerical Modelling for Scientists: Concepts, GUI Tools, and Fundamentals of FEM</w:t>
      </w:r>
    </w:p>
    <w:p w14:paraId="7A3B7218"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Professors involved</w:t>
      </w:r>
    </w:p>
    <w:p w14:paraId="5594F090" w14:textId="77777777" w:rsidR="00E27A8E" w:rsidRPr="00E27A8E" w:rsidRDefault="00E27A8E" w:rsidP="00E27A8E">
      <w:pPr>
        <w:numPr>
          <w:ilvl w:val="0"/>
          <w:numId w:val="1"/>
        </w:numPr>
        <w:rPr>
          <w:rFonts w:ascii="Calibri" w:hAnsi="Calibri" w:cs="Calibri"/>
          <w:sz w:val="22"/>
          <w:szCs w:val="22"/>
        </w:rPr>
      </w:pPr>
      <w:r w:rsidRPr="00E27A8E">
        <w:rPr>
          <w:rFonts w:ascii="Calibri" w:hAnsi="Calibri" w:cs="Calibri"/>
          <w:b/>
          <w:bCs/>
          <w:sz w:val="22"/>
          <w:szCs w:val="22"/>
        </w:rPr>
        <w:t>Dr. Biswabhanu Puhan</w:t>
      </w:r>
      <w:r w:rsidRPr="00E27A8E">
        <w:rPr>
          <w:rFonts w:ascii="Calibri" w:hAnsi="Calibri" w:cs="Calibri"/>
          <w:sz w:val="22"/>
          <w:szCs w:val="22"/>
        </w:rPr>
        <w:t xml:space="preserve"> – Postdoctoral Researcher, Department of Earth and Environmental Sciences, Università degli Studi di Pavia</w:t>
      </w:r>
    </w:p>
    <w:p w14:paraId="4DDDA93E" w14:textId="77777777" w:rsidR="00E27A8E" w:rsidRPr="00E27A8E" w:rsidRDefault="00E27A8E" w:rsidP="00E27A8E">
      <w:pPr>
        <w:numPr>
          <w:ilvl w:val="0"/>
          <w:numId w:val="1"/>
        </w:numPr>
        <w:rPr>
          <w:rFonts w:ascii="Calibri" w:hAnsi="Calibri" w:cs="Calibri"/>
          <w:sz w:val="22"/>
          <w:szCs w:val="22"/>
        </w:rPr>
      </w:pPr>
      <w:r w:rsidRPr="00E27A8E">
        <w:rPr>
          <w:rFonts w:ascii="Calibri" w:hAnsi="Calibri" w:cs="Calibri"/>
          <w:b/>
          <w:bCs/>
          <w:sz w:val="22"/>
          <w:szCs w:val="22"/>
        </w:rPr>
        <w:t>Dr. Ludovico Manna</w:t>
      </w:r>
      <w:r w:rsidRPr="00E27A8E">
        <w:rPr>
          <w:rFonts w:ascii="Calibri" w:hAnsi="Calibri" w:cs="Calibri"/>
          <w:sz w:val="22"/>
          <w:szCs w:val="22"/>
        </w:rPr>
        <w:t xml:space="preserve"> – Postdoctoral Researcher, Department of Earth and Environmental Sciences, Università degli Studi di Pavia</w:t>
      </w:r>
    </w:p>
    <w:p w14:paraId="4BB27CB3"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7D5E0D61">
          <v:rect id="_x0000_i1025" style="width:0;height:1.5pt" o:hralign="center" o:hrstd="t" o:hr="t" fillcolor="#a0a0a0" stroked="f"/>
        </w:pict>
      </w:r>
    </w:p>
    <w:p w14:paraId="1966BC51"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Course learning outcomes / abstract</w:t>
      </w:r>
    </w:p>
    <w:p w14:paraId="15532860" w14:textId="77777777" w:rsidR="00E27A8E" w:rsidRPr="00E27A8E" w:rsidRDefault="00E27A8E" w:rsidP="00E27A8E">
      <w:pPr>
        <w:jc w:val="both"/>
        <w:rPr>
          <w:rFonts w:ascii="Calibri" w:hAnsi="Calibri" w:cs="Calibri"/>
          <w:sz w:val="22"/>
          <w:szCs w:val="22"/>
        </w:rPr>
      </w:pPr>
      <w:r w:rsidRPr="00E27A8E">
        <w:rPr>
          <w:rFonts w:ascii="Calibri" w:hAnsi="Calibri" w:cs="Calibri"/>
          <w:sz w:val="22"/>
          <w:szCs w:val="22"/>
        </w:rPr>
        <w:t>This transversal course introduces PhD students from diverse scientific backgrounds to the fundamental concepts and practical use of numerical modelling. The course is designed as a bridge between scientific intuition and computational methods, with the aim of helping participants understand how numerical models are constructed, interpreted, and critically evaluated.</w:t>
      </w:r>
    </w:p>
    <w:p w14:paraId="3240A026" w14:textId="77777777" w:rsidR="00E27A8E" w:rsidRPr="00E27A8E" w:rsidRDefault="00E27A8E" w:rsidP="00E27A8E">
      <w:pPr>
        <w:jc w:val="both"/>
        <w:rPr>
          <w:rFonts w:ascii="Calibri" w:hAnsi="Calibri" w:cs="Calibri"/>
          <w:sz w:val="22"/>
          <w:szCs w:val="22"/>
        </w:rPr>
      </w:pPr>
      <w:r w:rsidRPr="00E27A8E">
        <w:rPr>
          <w:rFonts w:ascii="Calibri" w:hAnsi="Calibri" w:cs="Calibri"/>
          <w:sz w:val="22"/>
          <w:szCs w:val="22"/>
        </w:rPr>
        <w:t>Through simple visual demonstrations using Abaqus Learning Edition (or equivalent free GUI tools), students will learn how modelling assumptions, boundary conditions, and discretization choices influence simulation results. The course also includes a condensed and accessible introduction to the Finite Element Method (FEM), illustrated through selected MATLAB-based examples, with the goal of explaining at a conceptual level how numerical solvers operate “under the hood”. No prior coding or numerical modelling experience is required.</w:t>
      </w:r>
    </w:p>
    <w:p w14:paraId="744CB143" w14:textId="77777777" w:rsidR="00E27A8E" w:rsidRPr="00E27A8E" w:rsidRDefault="00E27A8E" w:rsidP="00E27A8E">
      <w:pPr>
        <w:rPr>
          <w:rFonts w:ascii="Calibri" w:hAnsi="Calibri" w:cs="Calibri"/>
          <w:sz w:val="22"/>
          <w:szCs w:val="22"/>
        </w:rPr>
      </w:pPr>
      <w:r w:rsidRPr="00E27A8E">
        <w:rPr>
          <w:rFonts w:ascii="Calibri" w:hAnsi="Calibri" w:cs="Calibri"/>
          <w:sz w:val="22"/>
          <w:szCs w:val="22"/>
        </w:rPr>
        <w:t>By the end of the course, participants will be able to:</w:t>
      </w:r>
    </w:p>
    <w:p w14:paraId="3D3940EA" w14:textId="77777777" w:rsidR="00E27A8E" w:rsidRPr="00E27A8E" w:rsidRDefault="00E27A8E" w:rsidP="00E27A8E">
      <w:pPr>
        <w:numPr>
          <w:ilvl w:val="0"/>
          <w:numId w:val="2"/>
        </w:numPr>
        <w:rPr>
          <w:rFonts w:ascii="Calibri" w:hAnsi="Calibri" w:cs="Calibri"/>
          <w:sz w:val="22"/>
          <w:szCs w:val="22"/>
        </w:rPr>
      </w:pPr>
      <w:r w:rsidRPr="00E27A8E">
        <w:rPr>
          <w:rFonts w:ascii="Calibri" w:hAnsi="Calibri" w:cs="Calibri"/>
          <w:sz w:val="22"/>
          <w:szCs w:val="22"/>
        </w:rPr>
        <w:t>understand basic numerical modelling workflows and discretization concepts,</w:t>
      </w:r>
    </w:p>
    <w:p w14:paraId="587C284C" w14:textId="77777777" w:rsidR="00E27A8E" w:rsidRPr="00E27A8E" w:rsidRDefault="00E27A8E" w:rsidP="00E27A8E">
      <w:pPr>
        <w:numPr>
          <w:ilvl w:val="0"/>
          <w:numId w:val="2"/>
        </w:numPr>
        <w:rPr>
          <w:rFonts w:ascii="Calibri" w:hAnsi="Calibri" w:cs="Calibri"/>
          <w:sz w:val="22"/>
          <w:szCs w:val="22"/>
        </w:rPr>
      </w:pPr>
      <w:r w:rsidRPr="00E27A8E">
        <w:rPr>
          <w:rFonts w:ascii="Calibri" w:hAnsi="Calibri" w:cs="Calibri"/>
          <w:sz w:val="22"/>
          <w:szCs w:val="22"/>
        </w:rPr>
        <w:t>run or interpret simple simulations in GUI-based environments,</w:t>
      </w:r>
    </w:p>
    <w:p w14:paraId="2E22DCE7" w14:textId="77777777" w:rsidR="00E27A8E" w:rsidRPr="00E27A8E" w:rsidRDefault="00E27A8E" w:rsidP="00E27A8E">
      <w:pPr>
        <w:numPr>
          <w:ilvl w:val="0"/>
          <w:numId w:val="2"/>
        </w:numPr>
        <w:rPr>
          <w:rFonts w:ascii="Calibri" w:hAnsi="Calibri" w:cs="Calibri"/>
          <w:sz w:val="22"/>
          <w:szCs w:val="22"/>
        </w:rPr>
      </w:pPr>
      <w:r w:rsidRPr="00E27A8E">
        <w:rPr>
          <w:rFonts w:ascii="Calibri" w:hAnsi="Calibri" w:cs="Calibri"/>
          <w:sz w:val="22"/>
          <w:szCs w:val="22"/>
        </w:rPr>
        <w:t>understand fundamental FEM concepts at a conceptual level,</w:t>
      </w:r>
    </w:p>
    <w:p w14:paraId="0A8155F9" w14:textId="77777777" w:rsidR="00E27A8E" w:rsidRPr="00E27A8E" w:rsidRDefault="00E27A8E" w:rsidP="00E27A8E">
      <w:pPr>
        <w:numPr>
          <w:ilvl w:val="0"/>
          <w:numId w:val="2"/>
        </w:numPr>
        <w:rPr>
          <w:rFonts w:ascii="Calibri" w:hAnsi="Calibri" w:cs="Calibri"/>
          <w:sz w:val="22"/>
          <w:szCs w:val="22"/>
        </w:rPr>
      </w:pPr>
      <w:r w:rsidRPr="00E27A8E">
        <w:rPr>
          <w:rFonts w:ascii="Calibri" w:hAnsi="Calibri" w:cs="Calibri"/>
          <w:sz w:val="22"/>
          <w:szCs w:val="22"/>
        </w:rPr>
        <w:t>critically evaluate numerical modelling results in their own research fields.</w:t>
      </w:r>
    </w:p>
    <w:p w14:paraId="1ECBF2F2"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1C343AA7">
          <v:rect id="_x0000_i1026" style="width:0;height:1.5pt" o:hralign="center" o:hrstd="t" o:hr="t" fillcolor="#a0a0a0" stroked="f"/>
        </w:pict>
      </w:r>
    </w:p>
    <w:p w14:paraId="1133FE51"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Goals</w:t>
      </w:r>
    </w:p>
    <w:p w14:paraId="12B01915" w14:textId="77777777" w:rsidR="00E27A8E" w:rsidRPr="00E27A8E" w:rsidRDefault="00E27A8E" w:rsidP="00E27A8E">
      <w:pPr>
        <w:rPr>
          <w:rFonts w:ascii="Calibri" w:hAnsi="Calibri" w:cs="Calibri"/>
          <w:sz w:val="22"/>
          <w:szCs w:val="22"/>
        </w:rPr>
      </w:pPr>
      <w:r w:rsidRPr="00E27A8E">
        <w:rPr>
          <w:rFonts w:ascii="Calibri" w:hAnsi="Calibri" w:cs="Calibri"/>
          <w:sz w:val="22"/>
          <w:szCs w:val="22"/>
        </w:rPr>
        <w:t>The goal of the course is to provide a clear introduction to numerical modelling as a cross-disciplinary scientific tool.</w:t>
      </w:r>
    </w:p>
    <w:p w14:paraId="08BF0230" w14:textId="77777777" w:rsidR="00E27A8E" w:rsidRPr="00E27A8E" w:rsidRDefault="00E27A8E" w:rsidP="00E27A8E">
      <w:pPr>
        <w:numPr>
          <w:ilvl w:val="0"/>
          <w:numId w:val="3"/>
        </w:numPr>
        <w:rPr>
          <w:rFonts w:ascii="Calibri" w:hAnsi="Calibri" w:cs="Calibri"/>
          <w:sz w:val="22"/>
          <w:szCs w:val="22"/>
        </w:rPr>
      </w:pPr>
      <w:r w:rsidRPr="00E27A8E">
        <w:rPr>
          <w:rFonts w:ascii="Calibri" w:hAnsi="Calibri" w:cs="Calibri"/>
          <w:sz w:val="22"/>
          <w:szCs w:val="22"/>
        </w:rPr>
        <w:t>Teach students when and how numerical modelling can support scientific research</w:t>
      </w:r>
    </w:p>
    <w:p w14:paraId="22C3B0D3" w14:textId="77777777" w:rsidR="00E27A8E" w:rsidRPr="00E27A8E" w:rsidRDefault="00E27A8E" w:rsidP="00E27A8E">
      <w:pPr>
        <w:numPr>
          <w:ilvl w:val="0"/>
          <w:numId w:val="3"/>
        </w:numPr>
        <w:rPr>
          <w:rFonts w:ascii="Calibri" w:hAnsi="Calibri" w:cs="Calibri"/>
          <w:sz w:val="22"/>
          <w:szCs w:val="22"/>
        </w:rPr>
      </w:pPr>
      <w:r w:rsidRPr="00E27A8E">
        <w:rPr>
          <w:rFonts w:ascii="Calibri" w:hAnsi="Calibri" w:cs="Calibri"/>
          <w:sz w:val="22"/>
          <w:szCs w:val="22"/>
        </w:rPr>
        <w:t>Demonstrate simple GUI-based modelling using Abaqus Learning Edition or similar platforms</w:t>
      </w:r>
    </w:p>
    <w:p w14:paraId="486349C5" w14:textId="77777777" w:rsidR="00E27A8E" w:rsidRPr="00E27A8E" w:rsidRDefault="00E27A8E" w:rsidP="00E27A8E">
      <w:pPr>
        <w:numPr>
          <w:ilvl w:val="0"/>
          <w:numId w:val="3"/>
        </w:numPr>
        <w:rPr>
          <w:rFonts w:ascii="Calibri" w:hAnsi="Calibri" w:cs="Calibri"/>
          <w:sz w:val="22"/>
          <w:szCs w:val="22"/>
        </w:rPr>
      </w:pPr>
      <w:r w:rsidRPr="00E27A8E">
        <w:rPr>
          <w:rFonts w:ascii="Calibri" w:hAnsi="Calibri" w:cs="Calibri"/>
          <w:sz w:val="22"/>
          <w:szCs w:val="22"/>
        </w:rPr>
        <w:t>Introduce fundamental FEM concepts through accessible MATLAB-based examples</w:t>
      </w:r>
    </w:p>
    <w:p w14:paraId="2411F079" w14:textId="77777777" w:rsidR="00E27A8E" w:rsidRPr="00E27A8E" w:rsidRDefault="00E27A8E" w:rsidP="00E27A8E">
      <w:pPr>
        <w:numPr>
          <w:ilvl w:val="0"/>
          <w:numId w:val="3"/>
        </w:numPr>
        <w:rPr>
          <w:rFonts w:ascii="Calibri" w:hAnsi="Calibri" w:cs="Calibri"/>
          <w:sz w:val="22"/>
          <w:szCs w:val="22"/>
        </w:rPr>
      </w:pPr>
      <w:r w:rsidRPr="00E27A8E">
        <w:rPr>
          <w:rFonts w:ascii="Calibri" w:hAnsi="Calibri" w:cs="Calibri"/>
          <w:sz w:val="22"/>
          <w:szCs w:val="22"/>
        </w:rPr>
        <w:t>Encourage critical thinking about modelling assumptions, parameters, and validation</w:t>
      </w:r>
    </w:p>
    <w:p w14:paraId="5F4306A1" w14:textId="77777777" w:rsidR="00E27A8E" w:rsidRPr="00E27A8E" w:rsidRDefault="00E27A8E" w:rsidP="00E27A8E">
      <w:pPr>
        <w:numPr>
          <w:ilvl w:val="0"/>
          <w:numId w:val="3"/>
        </w:numPr>
        <w:rPr>
          <w:rFonts w:ascii="Calibri" w:hAnsi="Calibri" w:cs="Calibri"/>
          <w:sz w:val="22"/>
          <w:szCs w:val="22"/>
        </w:rPr>
      </w:pPr>
      <w:r w:rsidRPr="00E27A8E">
        <w:rPr>
          <w:rFonts w:ascii="Calibri" w:hAnsi="Calibri" w:cs="Calibri"/>
          <w:sz w:val="22"/>
          <w:szCs w:val="22"/>
        </w:rPr>
        <w:t>Enable PhD students from different programs to confidently interpret numerical simulation results</w:t>
      </w:r>
    </w:p>
    <w:p w14:paraId="296242EE"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1ABAC840">
          <v:rect id="_x0000_i1027" style="width:0;height:1.5pt" o:hralign="center" o:hrstd="t" o:hr="t" fillcolor="#a0a0a0" stroked="f"/>
        </w:pict>
      </w:r>
    </w:p>
    <w:p w14:paraId="39AE6247"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lastRenderedPageBreak/>
        <w:t>Number of hours and planning</w:t>
      </w:r>
    </w:p>
    <w:p w14:paraId="71FD1202" w14:textId="77777777" w:rsidR="00E27A8E" w:rsidRPr="00E27A8E" w:rsidRDefault="00E27A8E" w:rsidP="00E27A8E">
      <w:pPr>
        <w:rPr>
          <w:rFonts w:ascii="Calibri" w:hAnsi="Calibri" w:cs="Calibri"/>
          <w:sz w:val="22"/>
          <w:szCs w:val="22"/>
        </w:rPr>
      </w:pPr>
      <w:r w:rsidRPr="00E27A8E">
        <w:rPr>
          <w:rFonts w:ascii="Calibri" w:hAnsi="Calibri" w:cs="Calibri"/>
          <w:b/>
          <w:bCs/>
          <w:sz w:val="22"/>
          <w:szCs w:val="22"/>
        </w:rPr>
        <w:t>20 hours total – 5 sessions × 4 hours</w:t>
      </w:r>
    </w:p>
    <w:p w14:paraId="14A8DD3A"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0AA0FFD7">
          <v:rect id="_x0000_i1028" style="width:0;height:1.5pt" o:hralign="center" o:hrstd="t" o:hr="t" fillcolor="#a0a0a0" stroked="f"/>
        </w:pict>
      </w:r>
    </w:p>
    <w:p w14:paraId="2D3BAF59"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Indicative plan</w:t>
      </w:r>
    </w:p>
    <w:p w14:paraId="3EF1D2D8" w14:textId="77777777" w:rsidR="00736EBF" w:rsidRPr="00736EBF" w:rsidRDefault="00736EBF" w:rsidP="00736EBF">
      <w:pPr>
        <w:rPr>
          <w:rFonts w:ascii="Calibri" w:hAnsi="Calibri" w:cs="Calibri"/>
          <w:b/>
          <w:bCs/>
          <w:sz w:val="22"/>
          <w:szCs w:val="22"/>
        </w:rPr>
      </w:pPr>
      <w:r w:rsidRPr="00736EBF">
        <w:rPr>
          <w:rFonts w:ascii="Calibri" w:hAnsi="Calibri" w:cs="Calibri"/>
          <w:b/>
          <w:bCs/>
          <w:sz w:val="22"/>
          <w:szCs w:val="22"/>
        </w:rPr>
        <w:t>1. Modelling in Science: Physical Intuition and Governing Ideas (4 hours)</w:t>
      </w:r>
    </w:p>
    <w:p w14:paraId="5E32859A" w14:textId="77777777" w:rsidR="00736EBF" w:rsidRPr="00736EBF" w:rsidRDefault="00736EBF" w:rsidP="00736EBF">
      <w:pPr>
        <w:rPr>
          <w:rFonts w:ascii="Calibri" w:hAnsi="Calibri" w:cs="Calibri"/>
          <w:sz w:val="22"/>
          <w:szCs w:val="22"/>
        </w:rPr>
      </w:pPr>
      <w:r w:rsidRPr="00736EBF">
        <w:rPr>
          <w:rFonts w:ascii="Calibri" w:hAnsi="Calibri" w:cs="Calibri"/>
          <w:sz w:val="22"/>
          <w:szCs w:val="22"/>
        </w:rPr>
        <w:t xml:space="preserve">Scientific modelling across disciplines; modelling </w:t>
      </w:r>
      <w:proofErr w:type="gramStart"/>
      <w:r w:rsidRPr="00736EBF">
        <w:rPr>
          <w:rFonts w:ascii="Calibri" w:hAnsi="Calibri" w:cs="Calibri"/>
          <w:sz w:val="22"/>
          <w:szCs w:val="22"/>
        </w:rPr>
        <w:t>as a way to</w:t>
      </w:r>
      <w:proofErr w:type="gramEnd"/>
      <w:r w:rsidRPr="00736EBF">
        <w:rPr>
          <w:rFonts w:ascii="Calibri" w:hAnsi="Calibri" w:cs="Calibri"/>
          <w:sz w:val="22"/>
          <w:szCs w:val="22"/>
        </w:rPr>
        <w:t xml:space="preserve"> translate physical intuition into mathematical form; balance laws and conservation principles; fields, gradients, and fluxes as unifying concepts; role of assumptions and boundary conditions; intuitive examples from physical, Earth, and applied sciences.</w:t>
      </w:r>
    </w:p>
    <w:p w14:paraId="533C5CAE" w14:textId="77777777" w:rsidR="00736EBF" w:rsidRPr="00736EBF" w:rsidRDefault="00000000" w:rsidP="00736EBF">
      <w:pPr>
        <w:rPr>
          <w:rFonts w:ascii="Calibri" w:hAnsi="Calibri" w:cs="Calibri"/>
          <w:sz w:val="22"/>
          <w:szCs w:val="22"/>
        </w:rPr>
      </w:pPr>
      <w:r>
        <w:rPr>
          <w:rFonts w:ascii="Calibri" w:hAnsi="Calibri" w:cs="Calibri"/>
          <w:sz w:val="22"/>
          <w:szCs w:val="22"/>
        </w:rPr>
        <w:pict w14:anchorId="1A57F895">
          <v:rect id="_x0000_i1029" style="width:0;height:1.5pt" o:hralign="center" o:hrstd="t" o:hr="t" fillcolor="#a0a0a0" stroked="f"/>
        </w:pict>
      </w:r>
    </w:p>
    <w:p w14:paraId="4DBC6317" w14:textId="77777777" w:rsidR="00736EBF" w:rsidRPr="00736EBF" w:rsidRDefault="00736EBF" w:rsidP="00736EBF">
      <w:pPr>
        <w:rPr>
          <w:rFonts w:ascii="Calibri" w:hAnsi="Calibri" w:cs="Calibri"/>
          <w:b/>
          <w:bCs/>
          <w:sz w:val="22"/>
          <w:szCs w:val="22"/>
        </w:rPr>
      </w:pPr>
      <w:r w:rsidRPr="00736EBF">
        <w:rPr>
          <w:rFonts w:ascii="Calibri" w:hAnsi="Calibri" w:cs="Calibri"/>
          <w:b/>
          <w:bCs/>
          <w:sz w:val="22"/>
          <w:szCs w:val="22"/>
        </w:rPr>
        <w:t>2. From Physical Laws to Mathematical Descriptions (4 hours)</w:t>
      </w:r>
    </w:p>
    <w:p w14:paraId="4F324810" w14:textId="77777777" w:rsidR="00736EBF" w:rsidRPr="00736EBF" w:rsidRDefault="00736EBF" w:rsidP="00736EBF">
      <w:pPr>
        <w:rPr>
          <w:rFonts w:ascii="Calibri" w:hAnsi="Calibri" w:cs="Calibri"/>
          <w:sz w:val="22"/>
          <w:szCs w:val="22"/>
        </w:rPr>
      </w:pPr>
      <w:r w:rsidRPr="00736EBF">
        <w:rPr>
          <w:rFonts w:ascii="Calibri" w:hAnsi="Calibri" w:cs="Calibri"/>
          <w:sz w:val="22"/>
          <w:szCs w:val="22"/>
        </w:rPr>
        <w:t>How physical processes are expressed through differential equations; meaning of local versus global descriptions; strong form of governing equations at a conceptual level; role of geometry, material properties, and constraints; why analytical solutions are often not available.</w:t>
      </w:r>
    </w:p>
    <w:p w14:paraId="57037E6E" w14:textId="77777777" w:rsidR="00736EBF" w:rsidRPr="00736EBF" w:rsidRDefault="00000000" w:rsidP="00736EBF">
      <w:pPr>
        <w:rPr>
          <w:rFonts w:ascii="Calibri" w:hAnsi="Calibri" w:cs="Calibri"/>
          <w:sz w:val="22"/>
          <w:szCs w:val="22"/>
        </w:rPr>
      </w:pPr>
      <w:r>
        <w:rPr>
          <w:rFonts w:ascii="Calibri" w:hAnsi="Calibri" w:cs="Calibri"/>
          <w:sz w:val="22"/>
          <w:szCs w:val="22"/>
        </w:rPr>
        <w:pict w14:anchorId="3BE8200E">
          <v:rect id="_x0000_i1030" style="width:0;height:1.5pt" o:hralign="center" o:hrstd="t" o:hr="t" fillcolor="#a0a0a0" stroked="f"/>
        </w:pict>
      </w:r>
    </w:p>
    <w:p w14:paraId="3C161C06" w14:textId="77777777" w:rsidR="00736EBF" w:rsidRPr="00736EBF" w:rsidRDefault="00736EBF" w:rsidP="00736EBF">
      <w:pPr>
        <w:rPr>
          <w:rFonts w:ascii="Calibri" w:hAnsi="Calibri" w:cs="Calibri"/>
          <w:b/>
          <w:bCs/>
          <w:sz w:val="22"/>
          <w:szCs w:val="22"/>
        </w:rPr>
      </w:pPr>
      <w:r w:rsidRPr="00736EBF">
        <w:rPr>
          <w:rFonts w:ascii="Calibri" w:hAnsi="Calibri" w:cs="Calibri"/>
          <w:b/>
          <w:bCs/>
          <w:sz w:val="22"/>
          <w:szCs w:val="22"/>
        </w:rPr>
        <w:t>3. From Equations to Numerical Thinking (4 hours)</w:t>
      </w:r>
    </w:p>
    <w:p w14:paraId="373DF8C2" w14:textId="77777777" w:rsidR="00736EBF" w:rsidRPr="00736EBF" w:rsidRDefault="00736EBF" w:rsidP="00736EBF">
      <w:pPr>
        <w:rPr>
          <w:rFonts w:ascii="Calibri" w:hAnsi="Calibri" w:cs="Calibri"/>
          <w:sz w:val="22"/>
          <w:szCs w:val="22"/>
        </w:rPr>
      </w:pPr>
      <w:r w:rsidRPr="00736EBF">
        <w:rPr>
          <w:rFonts w:ascii="Calibri" w:hAnsi="Calibri" w:cs="Calibri"/>
          <w:sz w:val="22"/>
          <w:szCs w:val="22"/>
        </w:rPr>
        <w:t>Why numerical methods are required; continuous versus discrete descriptions; discretization as a modelling choice rather than a technical step; meshes and resolution; approximation, error, and convergence (conceptual); introduction to weak formulations as a natural extension of physical reasoning.</w:t>
      </w:r>
    </w:p>
    <w:p w14:paraId="5F7CF780" w14:textId="77777777" w:rsidR="00736EBF" w:rsidRPr="00736EBF" w:rsidRDefault="00000000" w:rsidP="00736EBF">
      <w:pPr>
        <w:rPr>
          <w:rFonts w:ascii="Calibri" w:hAnsi="Calibri" w:cs="Calibri"/>
          <w:sz w:val="22"/>
          <w:szCs w:val="22"/>
        </w:rPr>
      </w:pPr>
      <w:r>
        <w:rPr>
          <w:rFonts w:ascii="Calibri" w:hAnsi="Calibri" w:cs="Calibri"/>
          <w:sz w:val="22"/>
          <w:szCs w:val="22"/>
        </w:rPr>
        <w:pict w14:anchorId="53228E34">
          <v:rect id="_x0000_i1031" style="width:0;height:1.5pt" o:hralign="center" o:hrstd="t" o:hr="t" fillcolor="#a0a0a0" stroked="f"/>
        </w:pict>
      </w:r>
    </w:p>
    <w:p w14:paraId="582FDF36" w14:textId="77777777" w:rsidR="00736EBF" w:rsidRPr="00736EBF" w:rsidRDefault="00736EBF" w:rsidP="00736EBF">
      <w:pPr>
        <w:rPr>
          <w:rFonts w:ascii="Calibri" w:hAnsi="Calibri" w:cs="Calibri"/>
          <w:b/>
          <w:bCs/>
          <w:sz w:val="22"/>
          <w:szCs w:val="22"/>
        </w:rPr>
      </w:pPr>
      <w:r w:rsidRPr="00736EBF">
        <w:rPr>
          <w:rFonts w:ascii="Calibri" w:hAnsi="Calibri" w:cs="Calibri"/>
          <w:b/>
          <w:bCs/>
          <w:sz w:val="22"/>
          <w:szCs w:val="22"/>
        </w:rPr>
        <w:t>4. Numerical Solution Strategies: FEM as an Illustrative Example (4 hours)</w:t>
      </w:r>
    </w:p>
    <w:p w14:paraId="3F93022B" w14:textId="77777777" w:rsidR="00736EBF" w:rsidRPr="00736EBF" w:rsidRDefault="00736EBF" w:rsidP="00736EBF">
      <w:pPr>
        <w:rPr>
          <w:rFonts w:ascii="Calibri" w:hAnsi="Calibri" w:cs="Calibri"/>
          <w:sz w:val="22"/>
          <w:szCs w:val="22"/>
        </w:rPr>
      </w:pPr>
      <w:r w:rsidRPr="00736EBF">
        <w:rPr>
          <w:rFonts w:ascii="Calibri" w:hAnsi="Calibri" w:cs="Calibri"/>
          <w:sz w:val="22"/>
          <w:szCs w:val="22"/>
        </w:rPr>
        <w:t>Conceptual overview of numerical solution strategies, with the Finite Element Method introduced as an illustrative example to connect governing equations with numerical implementation; elements, shape functions, and assembly ideas explained intuitively; MATLAB-based demonstrations aimed at understanding solver logic rather than programming details.</w:t>
      </w:r>
    </w:p>
    <w:p w14:paraId="05C70683" w14:textId="77777777" w:rsidR="00736EBF" w:rsidRPr="00736EBF" w:rsidRDefault="00000000" w:rsidP="00736EBF">
      <w:pPr>
        <w:rPr>
          <w:rFonts w:ascii="Calibri" w:hAnsi="Calibri" w:cs="Calibri"/>
          <w:sz w:val="22"/>
          <w:szCs w:val="22"/>
        </w:rPr>
      </w:pPr>
      <w:r>
        <w:rPr>
          <w:rFonts w:ascii="Calibri" w:hAnsi="Calibri" w:cs="Calibri"/>
          <w:sz w:val="22"/>
          <w:szCs w:val="22"/>
        </w:rPr>
        <w:pict w14:anchorId="6FB647EA">
          <v:rect id="_x0000_i1032" style="width:0;height:1.5pt" o:hralign="center" o:hrstd="t" o:hr="t" fillcolor="#a0a0a0" stroked="f"/>
        </w:pict>
      </w:r>
    </w:p>
    <w:p w14:paraId="3F518FBB" w14:textId="77777777" w:rsidR="00736EBF" w:rsidRPr="00736EBF" w:rsidRDefault="00736EBF" w:rsidP="00736EBF">
      <w:pPr>
        <w:rPr>
          <w:rFonts w:ascii="Calibri" w:hAnsi="Calibri" w:cs="Calibri"/>
          <w:b/>
          <w:bCs/>
          <w:sz w:val="22"/>
          <w:szCs w:val="22"/>
        </w:rPr>
      </w:pPr>
      <w:r w:rsidRPr="00736EBF">
        <w:rPr>
          <w:rFonts w:ascii="Calibri" w:hAnsi="Calibri" w:cs="Calibri"/>
          <w:b/>
          <w:bCs/>
          <w:sz w:val="22"/>
          <w:szCs w:val="22"/>
        </w:rPr>
        <w:t>5. Interpretation, Validation, and Transfer to Research Problems (4 hours)</w:t>
      </w:r>
    </w:p>
    <w:p w14:paraId="3703BEFE" w14:textId="77777777" w:rsidR="00736EBF" w:rsidRPr="00736EBF" w:rsidRDefault="00736EBF" w:rsidP="00736EBF">
      <w:pPr>
        <w:rPr>
          <w:rFonts w:ascii="Calibri" w:hAnsi="Calibri" w:cs="Calibri"/>
          <w:sz w:val="22"/>
          <w:szCs w:val="22"/>
        </w:rPr>
      </w:pPr>
      <w:r w:rsidRPr="00736EBF">
        <w:rPr>
          <w:rFonts w:ascii="Calibri" w:hAnsi="Calibri" w:cs="Calibri"/>
          <w:sz w:val="22"/>
          <w:szCs w:val="22"/>
        </w:rPr>
        <w:t>Interpretation of numerical results; analytical–numerical comparisons; validation and benchmarking concepts; sources of numerical uncertainty and modelling limitations; discussion on how numerical modelling concepts apply across different PhD research fields.</w:t>
      </w:r>
    </w:p>
    <w:p w14:paraId="446071FF" w14:textId="77777777" w:rsidR="00736EBF" w:rsidRDefault="00736EBF" w:rsidP="00E27A8E">
      <w:pPr>
        <w:rPr>
          <w:rFonts w:ascii="Calibri" w:hAnsi="Calibri" w:cs="Calibri"/>
          <w:sz w:val="22"/>
          <w:szCs w:val="22"/>
        </w:rPr>
      </w:pPr>
    </w:p>
    <w:p w14:paraId="5756BEA0" w14:textId="391060DB" w:rsidR="00E27A8E" w:rsidRPr="00E27A8E" w:rsidRDefault="00E27A8E" w:rsidP="00E27A8E">
      <w:pPr>
        <w:rPr>
          <w:rFonts w:ascii="Calibri" w:hAnsi="Calibri" w:cs="Calibri"/>
          <w:sz w:val="22"/>
          <w:szCs w:val="22"/>
        </w:rPr>
      </w:pPr>
      <w:r w:rsidRPr="00E27A8E">
        <w:rPr>
          <w:rFonts w:ascii="Calibri" w:hAnsi="Calibri" w:cs="Calibri"/>
          <w:i/>
          <w:iCs/>
          <w:sz w:val="22"/>
          <w:szCs w:val="22"/>
        </w:rPr>
        <w:t>(Note: this is a high-level outline; the detailed content of each session will be finalized closer to the teaching period.)</w:t>
      </w:r>
    </w:p>
    <w:p w14:paraId="35DBD40C" w14:textId="77777777" w:rsidR="00E27A8E" w:rsidRPr="00E27A8E" w:rsidRDefault="00000000" w:rsidP="00E27A8E">
      <w:pPr>
        <w:rPr>
          <w:rFonts w:ascii="Calibri" w:hAnsi="Calibri" w:cs="Calibri"/>
          <w:sz w:val="22"/>
          <w:szCs w:val="22"/>
        </w:rPr>
      </w:pPr>
      <w:r>
        <w:rPr>
          <w:rFonts w:ascii="Calibri" w:hAnsi="Calibri" w:cs="Calibri"/>
          <w:sz w:val="22"/>
          <w:szCs w:val="22"/>
        </w:rPr>
        <w:lastRenderedPageBreak/>
        <w:pict w14:anchorId="5D83A49C">
          <v:rect id="_x0000_i1033" style="width:0;height:1.5pt" o:hralign="center" o:hrstd="t" o:hr="t" fillcolor="#a0a0a0" stroked="f"/>
        </w:pict>
      </w:r>
    </w:p>
    <w:p w14:paraId="4D62949E"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Period</w:t>
      </w:r>
    </w:p>
    <w:p w14:paraId="59EC5D72" w14:textId="7E2E911F" w:rsidR="00E27A8E" w:rsidRPr="00E27A8E" w:rsidRDefault="00E27A8E" w:rsidP="00E27A8E">
      <w:pPr>
        <w:rPr>
          <w:rFonts w:ascii="Calibri" w:hAnsi="Calibri" w:cs="Calibri"/>
          <w:sz w:val="22"/>
          <w:szCs w:val="22"/>
        </w:rPr>
      </w:pPr>
      <w:r w:rsidRPr="00E27A8E">
        <w:rPr>
          <w:rFonts w:ascii="Calibri" w:hAnsi="Calibri" w:cs="Calibri"/>
          <w:b/>
          <w:bCs/>
          <w:sz w:val="22"/>
          <w:szCs w:val="22"/>
        </w:rPr>
        <w:t>18</w:t>
      </w:r>
      <w:r>
        <w:rPr>
          <w:rFonts w:ascii="Calibri" w:hAnsi="Calibri" w:cs="Calibri"/>
          <w:b/>
          <w:bCs/>
          <w:sz w:val="22"/>
          <w:szCs w:val="22"/>
        </w:rPr>
        <w:t xml:space="preserve">, 20, 22, 25 &amp; </w:t>
      </w:r>
      <w:r w:rsidRPr="00E27A8E">
        <w:rPr>
          <w:rFonts w:ascii="Calibri" w:hAnsi="Calibri" w:cs="Calibri"/>
          <w:b/>
          <w:bCs/>
          <w:sz w:val="22"/>
          <w:szCs w:val="22"/>
        </w:rPr>
        <w:t>27 May 2026, 9:00–13:00</w:t>
      </w:r>
    </w:p>
    <w:p w14:paraId="5BC9B568"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1E4ED5C8">
          <v:rect id="_x0000_i1034" style="width:0;height:1.5pt" o:hralign="center" o:hrstd="t" o:hr="t" fillcolor="#a0a0a0" stroked="f"/>
        </w:pict>
      </w:r>
    </w:p>
    <w:p w14:paraId="64412C33"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Registration</w:t>
      </w:r>
    </w:p>
    <w:p w14:paraId="33497D11" w14:textId="77777777" w:rsidR="00E27A8E" w:rsidRPr="00E27A8E" w:rsidRDefault="00E27A8E" w:rsidP="00E27A8E">
      <w:pPr>
        <w:rPr>
          <w:rFonts w:ascii="Calibri" w:hAnsi="Calibri" w:cs="Calibri"/>
          <w:sz w:val="22"/>
          <w:szCs w:val="22"/>
        </w:rPr>
      </w:pPr>
      <w:hyperlink r:id="rId5" w:tgtFrame="_new" w:history="1">
        <w:r w:rsidRPr="00E27A8E">
          <w:rPr>
            <w:rStyle w:val="Collegamentoipertestuale"/>
            <w:rFonts w:ascii="Calibri" w:hAnsi="Calibri" w:cs="Calibri"/>
            <w:sz w:val="22"/>
            <w:szCs w:val="22"/>
          </w:rPr>
          <w:t>https://forms.gle/9WmQhqQNnesPMsiV6</w:t>
        </w:r>
      </w:hyperlink>
    </w:p>
    <w:p w14:paraId="254FB52B"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516C1CB7">
          <v:rect id="_x0000_i1035" style="width:0;height:1.5pt" o:hralign="center" o:hrstd="t" o:hr="t" fillcolor="#a0a0a0" stroked="f"/>
        </w:pict>
      </w:r>
    </w:p>
    <w:p w14:paraId="7DE5EABD"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Delivery mode and location</w:t>
      </w:r>
    </w:p>
    <w:p w14:paraId="786B56BC" w14:textId="77777777" w:rsidR="00E27A8E" w:rsidRPr="00E27A8E" w:rsidRDefault="00E27A8E" w:rsidP="00E27A8E">
      <w:pPr>
        <w:rPr>
          <w:rFonts w:ascii="Calibri" w:hAnsi="Calibri" w:cs="Calibri"/>
          <w:sz w:val="22"/>
          <w:szCs w:val="22"/>
        </w:rPr>
      </w:pPr>
      <w:r w:rsidRPr="00E27A8E">
        <w:rPr>
          <w:rFonts w:ascii="Calibri" w:hAnsi="Calibri" w:cs="Calibri"/>
          <w:sz w:val="22"/>
          <w:szCs w:val="22"/>
        </w:rPr>
        <w:t>In presence (hybrid participation possible if necessary)</w:t>
      </w:r>
      <w:r w:rsidRPr="00E27A8E">
        <w:rPr>
          <w:rFonts w:ascii="Calibri" w:hAnsi="Calibri" w:cs="Calibri"/>
          <w:sz w:val="22"/>
          <w:szCs w:val="22"/>
        </w:rPr>
        <w:br/>
        <w:t>Department of Earth and Environmental Sciences, Università degli Studi di Pavia</w:t>
      </w:r>
    </w:p>
    <w:p w14:paraId="48EB50B9"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3B968820">
          <v:rect id="_x0000_i1036" style="width:0;height:1.5pt" o:hralign="center" o:hrstd="t" o:hr="t" fillcolor="#a0a0a0" stroked="f"/>
        </w:pict>
      </w:r>
    </w:p>
    <w:p w14:paraId="0684AEBD"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Language</w:t>
      </w:r>
    </w:p>
    <w:p w14:paraId="2B3040DC" w14:textId="77777777" w:rsidR="00E27A8E" w:rsidRPr="00E27A8E" w:rsidRDefault="00E27A8E" w:rsidP="00E27A8E">
      <w:pPr>
        <w:rPr>
          <w:rFonts w:ascii="Calibri" w:hAnsi="Calibri" w:cs="Calibri"/>
          <w:sz w:val="22"/>
          <w:szCs w:val="22"/>
        </w:rPr>
      </w:pPr>
      <w:r w:rsidRPr="00E27A8E">
        <w:rPr>
          <w:rFonts w:ascii="Calibri" w:hAnsi="Calibri" w:cs="Calibri"/>
          <w:sz w:val="22"/>
          <w:szCs w:val="22"/>
        </w:rPr>
        <w:t>English</w:t>
      </w:r>
    </w:p>
    <w:p w14:paraId="7534F43C"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18F0FFD4">
          <v:rect id="_x0000_i1037" style="width:0;height:1.5pt" o:hralign="center" o:hrstd="t" o:hr="t" fillcolor="#a0a0a0" stroked="f"/>
        </w:pict>
      </w:r>
    </w:p>
    <w:p w14:paraId="0B8AAA78"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Evaluation criteria</w:t>
      </w:r>
    </w:p>
    <w:p w14:paraId="61BA7D0E" w14:textId="77777777" w:rsidR="00E27A8E" w:rsidRPr="00E27A8E" w:rsidRDefault="00E27A8E" w:rsidP="00E27A8E">
      <w:pPr>
        <w:numPr>
          <w:ilvl w:val="0"/>
          <w:numId w:val="5"/>
        </w:numPr>
        <w:rPr>
          <w:rFonts w:ascii="Calibri" w:hAnsi="Calibri" w:cs="Calibri"/>
          <w:sz w:val="22"/>
          <w:szCs w:val="22"/>
        </w:rPr>
      </w:pPr>
      <w:r w:rsidRPr="00E27A8E">
        <w:rPr>
          <w:rFonts w:ascii="Calibri" w:hAnsi="Calibri" w:cs="Calibri"/>
          <w:sz w:val="22"/>
          <w:szCs w:val="22"/>
        </w:rPr>
        <w:t>Attendance ≥ 80%</w:t>
      </w:r>
    </w:p>
    <w:p w14:paraId="5921CC83" w14:textId="77777777" w:rsidR="00E27A8E" w:rsidRPr="00E27A8E" w:rsidRDefault="00E27A8E" w:rsidP="00E27A8E">
      <w:pPr>
        <w:numPr>
          <w:ilvl w:val="0"/>
          <w:numId w:val="5"/>
        </w:numPr>
        <w:rPr>
          <w:rFonts w:ascii="Calibri" w:hAnsi="Calibri" w:cs="Calibri"/>
          <w:sz w:val="22"/>
          <w:szCs w:val="22"/>
        </w:rPr>
      </w:pPr>
      <w:r w:rsidRPr="00E27A8E">
        <w:rPr>
          <w:rFonts w:ascii="Calibri" w:hAnsi="Calibri" w:cs="Calibri"/>
          <w:sz w:val="22"/>
          <w:szCs w:val="22"/>
        </w:rPr>
        <w:t>Short final exercise (e.g. comparison between a simple analytical expectation and a numerical result, or a brief reflection on modelling assumptions and interpretation of results)</w:t>
      </w:r>
    </w:p>
    <w:p w14:paraId="00AFA166" w14:textId="77777777" w:rsidR="00E27A8E" w:rsidRPr="00E27A8E" w:rsidRDefault="00000000" w:rsidP="00E27A8E">
      <w:pPr>
        <w:rPr>
          <w:rFonts w:ascii="Calibri" w:hAnsi="Calibri" w:cs="Calibri"/>
          <w:sz w:val="22"/>
          <w:szCs w:val="22"/>
        </w:rPr>
      </w:pPr>
      <w:r>
        <w:rPr>
          <w:rFonts w:ascii="Calibri" w:hAnsi="Calibri" w:cs="Calibri"/>
          <w:sz w:val="22"/>
          <w:szCs w:val="22"/>
        </w:rPr>
        <w:pict w14:anchorId="70933770">
          <v:rect id="_x0000_i1038" style="width:0;height:1.5pt" o:hralign="center" o:hrstd="t" o:hr="t" fillcolor="#a0a0a0" stroked="f"/>
        </w:pict>
      </w:r>
    </w:p>
    <w:p w14:paraId="6CCF776E" w14:textId="77777777" w:rsidR="00E27A8E" w:rsidRPr="00E27A8E" w:rsidRDefault="00E27A8E" w:rsidP="00E27A8E">
      <w:pPr>
        <w:rPr>
          <w:rFonts w:ascii="Calibri" w:hAnsi="Calibri" w:cs="Calibri"/>
          <w:b/>
          <w:bCs/>
          <w:sz w:val="22"/>
          <w:szCs w:val="22"/>
        </w:rPr>
      </w:pPr>
      <w:r w:rsidRPr="00E27A8E">
        <w:rPr>
          <w:rFonts w:ascii="Calibri" w:hAnsi="Calibri" w:cs="Calibri"/>
          <w:b/>
          <w:bCs/>
          <w:sz w:val="22"/>
          <w:szCs w:val="22"/>
        </w:rPr>
        <w:t>Credits (CFU)</w:t>
      </w:r>
    </w:p>
    <w:p w14:paraId="6E25ABB3" w14:textId="77777777" w:rsidR="00E27A8E" w:rsidRPr="00E27A8E" w:rsidRDefault="00E27A8E" w:rsidP="00E27A8E">
      <w:pPr>
        <w:rPr>
          <w:rFonts w:ascii="Calibri" w:hAnsi="Calibri" w:cs="Calibri"/>
          <w:sz w:val="22"/>
          <w:szCs w:val="22"/>
        </w:rPr>
      </w:pPr>
      <w:r w:rsidRPr="00E27A8E">
        <w:rPr>
          <w:rFonts w:ascii="Calibri" w:hAnsi="Calibri" w:cs="Calibri"/>
          <w:b/>
          <w:bCs/>
          <w:sz w:val="22"/>
          <w:szCs w:val="22"/>
        </w:rPr>
        <w:t>4 CFU</w:t>
      </w:r>
    </w:p>
    <w:p w14:paraId="0D5D9AC6" w14:textId="77777777" w:rsidR="00E27A8E" w:rsidRPr="00E27A8E" w:rsidRDefault="00E27A8E">
      <w:pPr>
        <w:rPr>
          <w:rFonts w:ascii="Calibri" w:hAnsi="Calibri" w:cs="Calibri"/>
          <w:sz w:val="22"/>
          <w:szCs w:val="22"/>
        </w:rPr>
      </w:pPr>
    </w:p>
    <w:sectPr w:rsidR="00E27A8E" w:rsidRPr="00E27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043"/>
    <w:multiLevelType w:val="multilevel"/>
    <w:tmpl w:val="37B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F732F"/>
    <w:multiLevelType w:val="multilevel"/>
    <w:tmpl w:val="616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E542A"/>
    <w:multiLevelType w:val="multilevel"/>
    <w:tmpl w:val="4724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05045E"/>
    <w:multiLevelType w:val="multilevel"/>
    <w:tmpl w:val="6C24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75126"/>
    <w:multiLevelType w:val="multilevel"/>
    <w:tmpl w:val="DD24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300570">
    <w:abstractNumId w:val="0"/>
  </w:num>
  <w:num w:numId="2" w16cid:durableId="88352444">
    <w:abstractNumId w:val="4"/>
  </w:num>
  <w:num w:numId="3" w16cid:durableId="917863594">
    <w:abstractNumId w:val="1"/>
  </w:num>
  <w:num w:numId="4" w16cid:durableId="1545750007">
    <w:abstractNumId w:val="2"/>
  </w:num>
  <w:num w:numId="5" w16cid:durableId="8719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8E"/>
    <w:rsid w:val="00052A8D"/>
    <w:rsid w:val="00736EBF"/>
    <w:rsid w:val="007F4BFE"/>
    <w:rsid w:val="008B769F"/>
    <w:rsid w:val="00BC525F"/>
    <w:rsid w:val="00DF65BD"/>
    <w:rsid w:val="00E27A8E"/>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33D4"/>
  <w15:chartTrackingRefBased/>
  <w15:docId w15:val="{FC44A08F-4A69-49F3-91F7-C6EB4282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o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7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7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7A8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7A8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7A8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7A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7A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7A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7A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7A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7A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7A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7A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7A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7A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7A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7A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7A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7A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7A8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7A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7A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7A8E"/>
    <w:rPr>
      <w:i/>
      <w:iCs/>
      <w:color w:val="404040" w:themeColor="text1" w:themeTint="BF"/>
    </w:rPr>
  </w:style>
  <w:style w:type="paragraph" w:styleId="Paragrafoelenco">
    <w:name w:val="List Paragraph"/>
    <w:basedOn w:val="Normale"/>
    <w:uiPriority w:val="34"/>
    <w:qFormat/>
    <w:rsid w:val="00E27A8E"/>
    <w:pPr>
      <w:ind w:left="720"/>
      <w:contextualSpacing/>
    </w:pPr>
  </w:style>
  <w:style w:type="character" w:styleId="Enfasiintensa">
    <w:name w:val="Intense Emphasis"/>
    <w:basedOn w:val="Carpredefinitoparagrafo"/>
    <w:uiPriority w:val="21"/>
    <w:qFormat/>
    <w:rsid w:val="00E27A8E"/>
    <w:rPr>
      <w:i/>
      <w:iCs/>
      <w:color w:val="0F4761" w:themeColor="accent1" w:themeShade="BF"/>
    </w:rPr>
  </w:style>
  <w:style w:type="paragraph" w:styleId="Citazioneintensa">
    <w:name w:val="Intense Quote"/>
    <w:basedOn w:val="Normale"/>
    <w:next w:val="Normale"/>
    <w:link w:val="CitazioneintensaCarattere"/>
    <w:uiPriority w:val="30"/>
    <w:qFormat/>
    <w:rsid w:val="00E27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7A8E"/>
    <w:rPr>
      <w:i/>
      <w:iCs/>
      <w:color w:val="0F4761" w:themeColor="accent1" w:themeShade="BF"/>
    </w:rPr>
  </w:style>
  <w:style w:type="character" w:styleId="Riferimentointenso">
    <w:name w:val="Intense Reference"/>
    <w:basedOn w:val="Carpredefinitoparagrafo"/>
    <w:uiPriority w:val="32"/>
    <w:qFormat/>
    <w:rsid w:val="00E27A8E"/>
    <w:rPr>
      <w:b/>
      <w:bCs/>
      <w:smallCaps/>
      <w:color w:val="0F4761" w:themeColor="accent1" w:themeShade="BF"/>
      <w:spacing w:val="5"/>
    </w:rPr>
  </w:style>
  <w:style w:type="character" w:styleId="Collegamentoipertestuale">
    <w:name w:val="Hyperlink"/>
    <w:basedOn w:val="Carpredefinitoparagrafo"/>
    <w:uiPriority w:val="99"/>
    <w:unhideWhenUsed/>
    <w:rsid w:val="00E27A8E"/>
    <w:rPr>
      <w:color w:val="467886" w:themeColor="hyperlink"/>
      <w:u w:val="single"/>
    </w:rPr>
  </w:style>
  <w:style w:type="character" w:styleId="Menzionenonrisolta">
    <w:name w:val="Unresolved Mention"/>
    <w:basedOn w:val="Carpredefinitoparagrafo"/>
    <w:uiPriority w:val="99"/>
    <w:semiHidden/>
    <w:unhideWhenUsed/>
    <w:rsid w:val="00E27A8E"/>
    <w:rPr>
      <w:color w:val="605E5C"/>
      <w:shd w:val="clear" w:color="auto" w:fill="E1DFDD"/>
    </w:rPr>
  </w:style>
  <w:style w:type="character" w:styleId="Collegamentovisitato">
    <w:name w:val="FollowedHyperlink"/>
    <w:basedOn w:val="Carpredefinitoparagrafo"/>
    <w:uiPriority w:val="99"/>
    <w:semiHidden/>
    <w:unhideWhenUsed/>
    <w:rsid w:val="00E27A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9WmQhqQNnesPMsiV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PUHAN BISWABHANU</dc:creator>
  <cp:keywords/>
  <dc:description/>
  <cp:lastModifiedBy>Alessandra Carrea</cp:lastModifiedBy>
  <cp:revision>2</cp:revision>
  <dcterms:created xsi:type="dcterms:W3CDTF">2026-02-12T08:26:00Z</dcterms:created>
  <dcterms:modified xsi:type="dcterms:W3CDTF">2026-02-12T08:26:00Z</dcterms:modified>
</cp:coreProperties>
</file>